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9A" w:rsidRDefault="00AC739A"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DC7DD5" w:rsidRPr="00C14831" w:rsidRDefault="00DC7DD5" w:rsidP="009950C3">
      <w:pPr>
        <w:jc w:val="center"/>
        <w:rPr>
          <w:rFonts w:cs="Times New Roman"/>
          <w:b/>
          <w:sz w:val="40"/>
          <w:szCs w:val="40"/>
        </w:rPr>
      </w:pPr>
      <w:r w:rsidRPr="00C14831">
        <w:rPr>
          <w:rFonts w:cs="Times New Roman"/>
          <w:b/>
          <w:sz w:val="40"/>
          <w:szCs w:val="40"/>
        </w:rPr>
        <w:t>Using interdisciplinary research method</w:t>
      </w:r>
      <w:r w:rsidR="00000ED3" w:rsidRPr="00C14831">
        <w:rPr>
          <w:rFonts w:cs="Times New Roman"/>
          <w:b/>
          <w:sz w:val="40"/>
          <w:szCs w:val="40"/>
        </w:rPr>
        <w:t>s</w:t>
      </w:r>
      <w:r w:rsidRPr="00C14831">
        <w:rPr>
          <w:rFonts w:cs="Times New Roman"/>
          <w:b/>
          <w:sz w:val="40"/>
          <w:szCs w:val="40"/>
        </w:rPr>
        <w:t xml:space="preserve"> </w:t>
      </w:r>
      <w:r w:rsidR="00000ED3" w:rsidRPr="00C14831">
        <w:rPr>
          <w:rFonts w:cs="Times New Roman"/>
          <w:b/>
          <w:sz w:val="40"/>
          <w:szCs w:val="40"/>
        </w:rPr>
        <w:t>to</w:t>
      </w:r>
      <w:r w:rsidR="002D26CB" w:rsidRPr="00C14831">
        <w:rPr>
          <w:rFonts w:cs="Times New Roman"/>
          <w:b/>
          <w:sz w:val="40"/>
          <w:szCs w:val="40"/>
        </w:rPr>
        <w:br/>
      </w:r>
      <w:r w:rsidR="00C246CB" w:rsidRPr="00C14831">
        <w:rPr>
          <w:rFonts w:cs="Times New Roman"/>
          <w:b/>
          <w:sz w:val="40"/>
          <w:szCs w:val="40"/>
        </w:rPr>
        <w:t>address</w:t>
      </w:r>
      <w:r w:rsidR="002D26CB" w:rsidRPr="00C14831">
        <w:rPr>
          <w:rFonts w:cs="Times New Roman"/>
          <w:b/>
          <w:sz w:val="40"/>
          <w:szCs w:val="40"/>
        </w:rPr>
        <w:t xml:space="preserve"> </w:t>
      </w:r>
      <w:r w:rsidRPr="00C14831">
        <w:rPr>
          <w:rFonts w:cs="Times New Roman"/>
          <w:b/>
          <w:sz w:val="40"/>
          <w:szCs w:val="40"/>
        </w:rPr>
        <w:t>comp</w:t>
      </w:r>
      <w:r w:rsidR="00000ED3" w:rsidRPr="00C14831">
        <w:rPr>
          <w:rFonts w:cs="Times New Roman"/>
          <w:b/>
          <w:sz w:val="40"/>
          <w:szCs w:val="40"/>
        </w:rPr>
        <w:t>l</w:t>
      </w:r>
      <w:r w:rsidRPr="00C14831">
        <w:rPr>
          <w:rFonts w:cs="Times New Roman"/>
          <w:b/>
          <w:sz w:val="40"/>
          <w:szCs w:val="40"/>
        </w:rPr>
        <w:t>ex</w:t>
      </w:r>
      <w:r w:rsidR="002D26CB" w:rsidRPr="00C14831">
        <w:rPr>
          <w:rFonts w:cs="Times New Roman"/>
          <w:b/>
          <w:sz w:val="40"/>
          <w:szCs w:val="40"/>
        </w:rPr>
        <w:t xml:space="preserve"> </w:t>
      </w:r>
      <w:r w:rsidRPr="00C14831">
        <w:rPr>
          <w:rFonts w:cs="Times New Roman"/>
          <w:b/>
          <w:sz w:val="40"/>
          <w:szCs w:val="40"/>
        </w:rPr>
        <w:t>multi-</w:t>
      </w:r>
      <w:r w:rsidR="00000ED3" w:rsidRPr="00C14831">
        <w:rPr>
          <w:rFonts w:cs="Times New Roman"/>
          <w:b/>
          <w:sz w:val="40"/>
          <w:szCs w:val="40"/>
        </w:rPr>
        <w:t>jurisdictional</w:t>
      </w:r>
      <w:r w:rsidR="00DF07A5" w:rsidRPr="00C14831">
        <w:rPr>
          <w:rFonts w:cs="Times New Roman"/>
          <w:b/>
          <w:sz w:val="40"/>
          <w:szCs w:val="40"/>
        </w:rPr>
        <w:t xml:space="preserve"> r</w:t>
      </w:r>
      <w:r w:rsidRPr="00C14831">
        <w:rPr>
          <w:rFonts w:cs="Times New Roman"/>
          <w:b/>
          <w:sz w:val="40"/>
          <w:szCs w:val="40"/>
        </w:rPr>
        <w:t xml:space="preserve">esource </w:t>
      </w:r>
      <w:r w:rsidR="00B16C2F" w:rsidRPr="00C14831">
        <w:rPr>
          <w:rFonts w:cs="Times New Roman"/>
          <w:b/>
          <w:sz w:val="40"/>
          <w:szCs w:val="40"/>
        </w:rPr>
        <w:t>issues</w:t>
      </w:r>
      <w:proofErr w:type="gramStart"/>
      <w:r w:rsidR="00B16C2F" w:rsidRPr="00C14831">
        <w:rPr>
          <w:rFonts w:cs="Times New Roman"/>
          <w:b/>
          <w:sz w:val="40"/>
          <w:szCs w:val="40"/>
        </w:rPr>
        <w:t>:</w:t>
      </w:r>
      <w:proofErr w:type="gramEnd"/>
      <w:r w:rsidR="002D26CB" w:rsidRPr="00C14831">
        <w:rPr>
          <w:rFonts w:cs="Times New Roman"/>
          <w:b/>
          <w:sz w:val="40"/>
          <w:szCs w:val="40"/>
        </w:rPr>
        <w:br/>
      </w:r>
      <w:r w:rsidR="00B16C2F" w:rsidRPr="00C14831">
        <w:rPr>
          <w:rFonts w:cs="Times New Roman"/>
          <w:b/>
          <w:sz w:val="40"/>
          <w:szCs w:val="40"/>
        </w:rPr>
        <w:t>A case study of Lapwai Creek Watershed</w:t>
      </w:r>
    </w:p>
    <w:p w:rsidR="00DF07A5" w:rsidRDefault="00DF07A5"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DF07A5" w:rsidRPr="00C14831" w:rsidRDefault="00DF07A5" w:rsidP="009950C3">
      <w:pPr>
        <w:jc w:val="center"/>
        <w:rPr>
          <w:sz w:val="28"/>
        </w:rPr>
      </w:pPr>
      <w:r w:rsidRPr="00C14831">
        <w:rPr>
          <w:sz w:val="28"/>
        </w:rPr>
        <w:t xml:space="preserve">Ryan </w:t>
      </w:r>
      <w:proofErr w:type="spellStart"/>
      <w:r w:rsidRPr="00C14831">
        <w:rPr>
          <w:sz w:val="28"/>
        </w:rPr>
        <w:t>Boylan</w:t>
      </w:r>
      <w:proofErr w:type="spellEnd"/>
      <w:r w:rsidRPr="00C14831">
        <w:rPr>
          <w:sz w:val="28"/>
        </w:rPr>
        <w:t xml:space="preserve">, Jim </w:t>
      </w:r>
      <w:proofErr w:type="spellStart"/>
      <w:r w:rsidRPr="00C14831">
        <w:rPr>
          <w:sz w:val="28"/>
        </w:rPr>
        <w:t>Browitt</w:t>
      </w:r>
      <w:proofErr w:type="spellEnd"/>
      <w:r w:rsidRPr="00C14831">
        <w:rPr>
          <w:sz w:val="28"/>
        </w:rPr>
        <w:t>, Chris Currie</w:t>
      </w:r>
      <w:proofErr w:type="gramStart"/>
      <w:r w:rsidRPr="00C14831">
        <w:rPr>
          <w:sz w:val="28"/>
        </w:rPr>
        <w:t>,</w:t>
      </w:r>
      <w:proofErr w:type="gramEnd"/>
      <w:r w:rsidRPr="00C14831">
        <w:rPr>
          <w:sz w:val="28"/>
        </w:rPr>
        <w:br/>
        <w:t xml:space="preserve">Allison Parker and Audrey Squires </w:t>
      </w:r>
    </w:p>
    <w:p w:rsidR="009950C3" w:rsidRDefault="009950C3" w:rsidP="009950C3">
      <w:pPr>
        <w:jc w:val="center"/>
        <w:rPr>
          <w:b/>
        </w:rPr>
      </w:pPr>
    </w:p>
    <w:p w:rsidR="00C14831" w:rsidRPr="00C14831" w:rsidRDefault="00C14831" w:rsidP="009950C3">
      <w:pPr>
        <w:jc w:val="center"/>
        <w:rPr>
          <w:b/>
        </w:rPr>
      </w:pPr>
    </w:p>
    <w:p w:rsidR="00C14831" w:rsidRDefault="00C14831" w:rsidP="009950C3">
      <w:pPr>
        <w:jc w:val="center"/>
      </w:pPr>
      <w:r>
        <w:t>WR 506: Interdisciplinary Methods in Water Resources</w:t>
      </w:r>
    </w:p>
    <w:p w:rsidR="00C14831" w:rsidRDefault="00C14831" w:rsidP="009950C3">
      <w:pPr>
        <w:jc w:val="center"/>
      </w:pPr>
      <w:proofErr w:type="gramStart"/>
      <w:r>
        <w:t>Profs.</w:t>
      </w:r>
      <w:proofErr w:type="gramEnd"/>
      <w:r>
        <w:t xml:space="preserve"> Boll and </w:t>
      </w:r>
      <w:proofErr w:type="spellStart"/>
      <w:r>
        <w:t>Cosens</w:t>
      </w:r>
      <w:proofErr w:type="spellEnd"/>
    </w:p>
    <w:p w:rsidR="00C14831" w:rsidRDefault="00C14831" w:rsidP="009950C3">
      <w:pPr>
        <w:jc w:val="center"/>
      </w:pPr>
      <w:r>
        <w:t>University of Idaho</w:t>
      </w:r>
    </w:p>
    <w:p w:rsidR="00C14831" w:rsidRPr="00C14831" w:rsidRDefault="00C14831" w:rsidP="009950C3">
      <w:pPr>
        <w:jc w:val="center"/>
      </w:pPr>
      <w:r>
        <w:t>2 December 2011</w:t>
      </w:r>
    </w:p>
    <w:p w:rsidR="00C14831" w:rsidRPr="00C14831" w:rsidRDefault="00C14831" w:rsidP="009950C3">
      <w:pPr>
        <w:jc w:val="center"/>
        <w:rPr>
          <w:b/>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bookmarkStart w:id="0" w:name="_GoBack"/>
      <w:bookmarkEnd w:id="0"/>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BF25E1" w:rsidRDefault="00DF07A5" w:rsidP="00A310E7">
      <w:pPr>
        <w:rPr>
          <w:b/>
        </w:rPr>
      </w:pPr>
      <w:r>
        <w:rPr>
          <w:b/>
        </w:rPr>
        <w:lastRenderedPageBreak/>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w:t>
      </w:r>
      <w:proofErr w:type="gramStart"/>
      <w:r>
        <w:rPr>
          <w:rFonts w:ascii="TimesNewRomanPSMT" w:hAnsi="TimesNewRomanPSMT" w:cs="TimesNewRomanPSMT"/>
          <w:color w:val="231F20"/>
          <w:szCs w:val="20"/>
        </w:rPr>
        <w:t>addresses</w:t>
      </w:r>
      <w:proofErr w:type="gramEnd"/>
      <w:r>
        <w:rPr>
          <w:rFonts w:ascii="TimesNewRomanPSMT" w:hAnsi="TimesNewRomanPSMT" w:cs="TimesNewRomanPSMT"/>
          <w:color w:val="231F20"/>
          <w:szCs w:val="20"/>
        </w:rPr>
        <w:t xml:space="preserve">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 xml:space="preserve">represented the first step </w:t>
      </w:r>
      <w:r w:rsidR="00BB7F1D">
        <w:lastRenderedPageBreak/>
        <w:t>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w:t>
      </w:r>
      <w:proofErr w:type="spellStart"/>
      <w:r w:rsidR="008001A9" w:rsidRPr="00A310E7">
        <w:t>Cosens</w:t>
      </w:r>
      <w:proofErr w:type="spellEnd"/>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historical background</w:t>
      </w:r>
      <w:proofErr w:type="gramStart"/>
      <w:r w:rsidR="00471951">
        <w:t xml:space="preserve">,  </w:t>
      </w:r>
      <w:r w:rsidR="00E078C4">
        <w:t>biological</w:t>
      </w:r>
      <w:proofErr w:type="gramEnd"/>
      <w:r w:rsidR="00E078C4">
        <w:t xml:space="preserve">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 xml:space="preserve">email, Audrey reminded the group of the purpose for meeting. She wrote, “[a]s a reminder, in this meeting we are planning to talk about our backgrounds and how we see them fitting into this project; what disciplines could be involved in the problem and then which ones </w:t>
      </w:r>
      <w:r w:rsidR="00A310E7" w:rsidRPr="00A310E7">
        <w:rPr>
          <w:rFonts w:cs="Tahoma"/>
          <w:color w:val="1F1F1F"/>
          <w:szCs w:val="26"/>
        </w:rPr>
        <w:lastRenderedPageBreak/>
        <w:t>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 xml:space="preserve">atershed problem. Before conducting significant </w:t>
      </w:r>
      <w:r w:rsidR="00D45BA8">
        <w:rPr>
          <w:rFonts w:cs="Tahoma"/>
          <w:color w:val="1F1F1F"/>
          <w:szCs w:val="26"/>
        </w:rPr>
        <w:lastRenderedPageBreak/>
        <w:t>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w:t>
      </w:r>
      <w:r w:rsidRPr="00935E34">
        <w:lastRenderedPageBreak/>
        <w:t xml:space="preserve">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lastRenderedPageBreak/>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lastRenderedPageBreak/>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At this meeting we began developing a concept</w:t>
      </w:r>
      <w:r w:rsidR="004D6ACE">
        <w:t>ual</w:t>
      </w:r>
      <w:r>
        <w:t xml:space="preserve"> </w:t>
      </w:r>
      <w:r w:rsidR="00767587">
        <w:t>model</w:t>
      </w:r>
      <w:r>
        <w:t xml:space="preserve">. </w:t>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 xml:space="preserve">drainage’s socio-ecologic </w:t>
      </w:r>
      <w:r w:rsidR="00A310E7" w:rsidRPr="00A310E7">
        <w:lastRenderedPageBreak/>
        <w:t>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9E3564">
        <w:t>,</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w:t>
      </w:r>
      <w:r w:rsidR="009E3564">
        <w:t xml:space="preserve">draw on more disciplines, </w:t>
      </w:r>
      <w:r w:rsidRPr="00A310E7">
        <w:t xml:space="preserve">relying not only </w:t>
      </w:r>
      <w:r w:rsidR="0047310E">
        <w:t xml:space="preserve">on </w:t>
      </w:r>
      <w:r w:rsidRPr="00A310E7">
        <w:t xml:space="preserve">segmented habitat but also </w:t>
      </w:r>
      <w:r w:rsidR="00ED444E">
        <w:t xml:space="preserve">on </w:t>
      </w:r>
      <w:r w:rsidRPr="00A310E7">
        <w:t xml:space="preserve">a fractured </w:t>
      </w:r>
      <w:commentRangeStart w:id="1"/>
      <w:r w:rsidRPr="00A310E7">
        <w:t xml:space="preserve">policy-space </w:t>
      </w:r>
      <w:commentRangeEnd w:id="1"/>
      <w:r w:rsidR="00C62A2B">
        <w:rPr>
          <w:rStyle w:val="CommentReference"/>
          <w:vanish/>
        </w:rPr>
        <w:commentReference w:id="1"/>
      </w:r>
      <w:r w:rsidRPr="00A310E7">
        <w:t xml:space="preserve">unlike </w:t>
      </w:r>
      <w:r w:rsidR="00280A07">
        <w:t xml:space="preserve">that found with </w:t>
      </w:r>
      <w:r w:rsidRPr="00A310E7">
        <w:t xml:space="preserve">the declining Palouse </w:t>
      </w:r>
      <w:r w:rsidR="00D72524">
        <w:t>a</w:t>
      </w:r>
      <w:r w:rsidRPr="00A310E7">
        <w:t xml:space="preserve">quifers.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9E3564">
        <w:t>somewhat less complex</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proofErr w:type="gramStart"/>
      <w:r w:rsidR="00AB10DF">
        <w:rPr>
          <w:color w:val="000000"/>
        </w:rPr>
        <w:t>S</w:t>
      </w:r>
      <w:r w:rsidR="006E5741" w:rsidRPr="009F5335">
        <w:rPr>
          <w:color w:val="000000"/>
        </w:rPr>
        <w:t>teelhead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w:t>
      </w:r>
      <w:proofErr w:type="spellStart"/>
      <w:r>
        <w:rPr>
          <w:color w:val="000000"/>
        </w:rPr>
        <w:t>riverways</w:t>
      </w:r>
      <w:proofErr w:type="spellEnd"/>
      <w:r>
        <w:rPr>
          <w:color w:val="000000"/>
        </w:rPr>
        <w:t xml:space="preserve"> even more challenging. </w:t>
      </w:r>
      <w:r w:rsidR="006E5741">
        <w:rPr>
          <w:color w:val="000000"/>
        </w:rPr>
        <w:t>The stakeholder/</w:t>
      </w:r>
      <w:r w:rsidR="006E5741" w:rsidRPr="009F5335">
        <w:rPr>
          <w:color w:val="000000"/>
        </w:rPr>
        <w:t xml:space="preserve">managerial </w:t>
      </w:r>
      <w:commentRangeStart w:id="2"/>
      <w:r w:rsidR="006E5741" w:rsidRPr="009F5335">
        <w:rPr>
          <w:color w:val="000000"/>
        </w:rPr>
        <w:t>decision</w:t>
      </w:r>
      <w:r w:rsidR="00CF3D7B">
        <w:rPr>
          <w:color w:val="000000"/>
        </w:rPr>
        <w:t xml:space="preserve"> </w:t>
      </w:r>
      <w:r w:rsidR="006E5741" w:rsidRPr="009F5335">
        <w:rPr>
          <w:color w:val="000000"/>
        </w:rPr>
        <w:t>space</w:t>
      </w:r>
      <w:commentRangeEnd w:id="2"/>
      <w:r>
        <w:rPr>
          <w:rStyle w:val="CommentReference"/>
          <w:rFonts w:eastAsiaTheme="minorHAnsi" w:cstheme="minorBidi"/>
          <w:vanish/>
        </w:rPr>
        <w:commentReference w:id="2"/>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w:t>
      </w:r>
      <w:proofErr w:type="gramStart"/>
      <w:r w:rsidR="006E5741">
        <w:rPr>
          <w:color w:val="000000"/>
        </w:rPr>
        <w:t>Lewiston</w:t>
      </w:r>
      <w:proofErr w:type="gramEnd"/>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w:t>
      </w:r>
      <w:r w:rsidR="006175F3">
        <w:rPr>
          <w:color w:val="000000"/>
        </w:rPr>
        <w:lastRenderedPageBreak/>
        <w:t>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w:t>
      </w:r>
      <w:proofErr w:type="gramStart"/>
      <w:r>
        <w:rPr>
          <w:color w:val="000000"/>
        </w:rPr>
        <w:t xml:space="preserve">to  </w:t>
      </w:r>
      <w:r w:rsidR="006E5741" w:rsidRPr="009F5335">
        <w:rPr>
          <w:color w:val="000000"/>
        </w:rPr>
        <w:t>the</w:t>
      </w:r>
      <w:proofErr w:type="gramEnd"/>
      <w:r>
        <w:rPr>
          <w:color w:val="000000"/>
        </w:rPr>
        <w:t xml:space="preserve"> Nez Perce War of 1</w:t>
      </w:r>
      <w:r w:rsidR="006E5741">
        <w:rPr>
          <w:color w:val="000000"/>
        </w:rPr>
        <w:t xml:space="preserve">877. </w:t>
      </w:r>
      <w:r w:rsidR="00D4680C">
        <w:rPr>
          <w:color w:val="000000"/>
        </w:rPr>
        <w:t xml:space="preserve">The subsequent process of </w:t>
      </w:r>
      <w:proofErr w:type="gramStart"/>
      <w:r w:rsidR="00D4680C">
        <w:rPr>
          <w:color w:val="000000"/>
        </w:rPr>
        <w:t>assimilation,</w:t>
      </w:r>
      <w:proofErr w:type="gramEnd"/>
      <w:r w:rsidR="00D4680C">
        <w:rPr>
          <w:color w:val="000000"/>
        </w:rPr>
        <w:t xml:space="preserve">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w:t>
      </w:r>
      <w:r>
        <w:lastRenderedPageBreak/>
        <w:t>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lastRenderedPageBreak/>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w:t>
      </w:r>
      <w:r>
        <w:lastRenderedPageBreak/>
        <w:t xml:space="preserve">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lastRenderedPageBreak/>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w:t>
      </w:r>
      <w:r w:rsidRPr="00D43B54">
        <w:rPr>
          <w:rFonts w:cs="Times New Roman"/>
        </w:rPr>
        <w:lastRenderedPageBreak/>
        <w:t>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 xml:space="preserve">upland areas dominated by dry land agriculture while grazing </w:t>
      </w:r>
      <w:r w:rsidRPr="00D43B54">
        <w:rPr>
          <w:rFonts w:cs="Times New Roman"/>
        </w:rPr>
        <w:lastRenderedPageBreak/>
        <w:t>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The Lap</w:t>
      </w:r>
      <w:r w:rsidRPr="00D43B54">
        <w:rPr>
          <w:rFonts w:cs="Times New Roman"/>
        </w:rPr>
        <w:t xml:space="preserve">wai Creek </w:t>
      </w:r>
      <w:proofErr w:type="spellStart"/>
      <w:r w:rsidR="007622BB" w:rsidRPr="00D43B54">
        <w:rPr>
          <w:rFonts w:cs="Times New Roman"/>
        </w:rPr>
        <w:t>mainstem</w:t>
      </w:r>
      <w:proofErr w:type="spellEnd"/>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various land uses provide a unique set of circumstances, which contributes to highly </w:t>
      </w:r>
      <w:proofErr w:type="gramStart"/>
      <w:r w:rsidR="00D43B54" w:rsidRPr="00D43B54">
        <w:rPr>
          <w:rFonts w:cs="Times New Roman"/>
        </w:rPr>
        <w:t>degrade</w:t>
      </w:r>
      <w:r w:rsidR="00F207A1">
        <w:rPr>
          <w:rFonts w:cs="Times New Roman"/>
        </w:rPr>
        <w:t>d</w:t>
      </w:r>
      <w:proofErr w:type="gramEnd"/>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w:t>
      </w:r>
      <w:r w:rsidRPr="00D43B54">
        <w:rPr>
          <w:rFonts w:cs="Times New Roman"/>
        </w:rPr>
        <w:lastRenderedPageBreak/>
        <w:t xml:space="preserve">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w:t>
      </w:r>
      <w:r w:rsidRPr="00D43B54">
        <w:rPr>
          <w:rFonts w:cs="Times New Roman"/>
        </w:rPr>
        <w:lastRenderedPageBreak/>
        <w:t>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9E3564" w:rsidRDefault="009E3564" w:rsidP="00073263">
      <w:pPr>
        <w:spacing w:line="480" w:lineRule="auto"/>
        <w:rPr>
          <w:rFonts w:cs="Times New Roman"/>
          <w:b/>
        </w:rPr>
      </w:pPr>
    </w:p>
    <w:p w:rsidR="009E3564" w:rsidRDefault="009E3564" w:rsidP="00073263">
      <w:pPr>
        <w:spacing w:line="480" w:lineRule="auto"/>
        <w:rPr>
          <w:rFonts w:cs="Times New Roman"/>
          <w:b/>
        </w:rPr>
      </w:pPr>
    </w:p>
    <w:p w:rsidR="00073263" w:rsidRDefault="009B1D59" w:rsidP="00073263">
      <w:pPr>
        <w:spacing w:line="480" w:lineRule="auto"/>
        <w:rPr>
          <w:rFonts w:cs="Times New Roman"/>
          <w:b/>
        </w:rPr>
      </w:pPr>
      <w:r>
        <w:rPr>
          <w:rFonts w:cs="Times New Roman"/>
          <w:b/>
        </w:rPr>
        <w:lastRenderedPageBreak/>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t>Indeed, i</w:t>
      </w:r>
      <w:r w:rsidR="00073263">
        <w:rPr>
          <w:rFonts w:cs="Times New Roman"/>
          <w:color w:val="000000"/>
        </w:rPr>
        <w:t xml:space="preserve">n assessments of the Lapwai Creek community, interviewees have expressed </w:t>
      </w:r>
      <w:r w:rsidR="00241F95">
        <w:rPr>
          <w:rFonts w:cs="Times New Roman"/>
          <w:color w:val="000000"/>
        </w:rPr>
        <w:t>i</w:t>
      </w:r>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9E3564" w:rsidRDefault="009E3564" w:rsidP="00F7623D">
      <w:pPr>
        <w:spacing w:line="480" w:lineRule="auto"/>
        <w:rPr>
          <w:rFonts w:cs="Times New Roman"/>
          <w:color w:val="000000"/>
          <w:u w:val="single"/>
        </w:rPr>
      </w:pPr>
    </w:p>
    <w:p w:rsidR="00F7623D" w:rsidRPr="009E3564" w:rsidRDefault="00F7623D" w:rsidP="00F7623D">
      <w:pPr>
        <w:spacing w:line="480" w:lineRule="auto"/>
        <w:rPr>
          <w:rFonts w:cs="Times New Roman"/>
          <w:b/>
          <w:color w:val="000000"/>
        </w:rPr>
      </w:pPr>
      <w:r w:rsidRPr="009E3564">
        <w:rPr>
          <w:rFonts w:cs="Times New Roman"/>
          <w:b/>
          <w:color w:val="000000"/>
        </w:rPr>
        <w:lastRenderedPageBreak/>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D17432" w:rsidRPr="009B1D59" w:rsidRDefault="00000ED3" w:rsidP="00AC739A">
      <w:pPr>
        <w:spacing w:line="480" w:lineRule="auto"/>
        <w:ind w:firstLine="720"/>
        <w:rPr>
          <w:rFonts w:cs="Times New Roman"/>
          <w:b/>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sectPr w:rsidR="00D17432" w:rsidRPr="009B1D59" w:rsidSect="00AC739A">
      <w:headerReference w:type="even" r:id="rId10"/>
      <w:headerReference w:type="default" r:id="rId11"/>
      <w:pgSz w:w="12240" w:h="15840"/>
      <w:pgMar w:top="1440" w:right="1440" w:bottom="108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Ryan  Boylan" w:date="2011-11-29T20:35:00Z" w:initials="RB">
    <w:p w:rsidR="0001216D" w:rsidRDefault="0001216D">
      <w:pPr>
        <w:pStyle w:val="CommentText"/>
      </w:pPr>
      <w:r>
        <w:rPr>
          <w:rStyle w:val="CommentReference"/>
        </w:rPr>
        <w:annotationRef/>
      </w:r>
      <w:r>
        <w:t>Allison made a comment on the next page about including a quick description about what “decision space” means maybe you could do the same with “policy space</w:t>
      </w:r>
      <w:proofErr w:type="gramStart"/>
      <w:r>
        <w:t>”  unless</w:t>
      </w:r>
      <w:proofErr w:type="gramEnd"/>
      <w:r>
        <w:t xml:space="preserve"> that is a common legal term.  I am just not really familiar with legal terms.</w:t>
      </w:r>
    </w:p>
  </w:comment>
  <w:comment w:id="2" w:author="allison parker" w:date="2011-11-29T08:28:00Z" w:initials="ap">
    <w:p w:rsidR="0001216D" w:rsidRDefault="0001216D">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parentheticals and are used within footnotes to provide explanation to ambiguous information.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FF3" w:rsidRDefault="00100FF3" w:rsidP="00DD0CFD">
      <w:r>
        <w:separator/>
      </w:r>
    </w:p>
  </w:endnote>
  <w:endnote w:type="continuationSeparator" w:id="0">
    <w:p w:rsidR="00100FF3" w:rsidRDefault="00100FF3"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FF3" w:rsidRDefault="00100FF3" w:rsidP="00DD0CFD">
      <w:r>
        <w:separator/>
      </w:r>
    </w:p>
  </w:footnote>
  <w:footnote w:type="continuationSeparator" w:id="0">
    <w:p w:rsidR="00100FF3" w:rsidRDefault="00100FF3" w:rsidP="00DD0CFD">
      <w:r>
        <w:continuationSeparator/>
      </w:r>
    </w:p>
  </w:footnote>
  <w:footnote w:id="1">
    <w:p w:rsidR="0001216D" w:rsidRDefault="0001216D">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proofErr w:type="gramStart"/>
      <w:r w:rsidRPr="004D146B">
        <w:rPr>
          <w:rFonts w:ascii="TimesNewRomanPSMT" w:hAnsi="TimesNewRomanPSMT" w:cs="TimesNewRomanPSMT"/>
          <w:i/>
          <w:color w:val="231F20"/>
          <w:szCs w:val="18"/>
        </w:rPr>
        <w:t>A</w:t>
      </w:r>
      <w:proofErr w:type="gramEnd"/>
      <w:r w:rsidRPr="004D146B">
        <w:rPr>
          <w:rFonts w:ascii="TimesNewRomanPSMT" w:hAnsi="TimesNewRomanPSMT" w:cs="TimesNewRomanPSMT"/>
          <w:i/>
          <w:color w:val="231F20"/>
          <w:szCs w:val="18"/>
        </w:rPr>
        <w:t xml:space="preserve">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01216D" w:rsidRDefault="0001216D" w:rsidP="009A3DF6">
      <w:pPr>
        <w:pStyle w:val="FootnoteText"/>
      </w:pPr>
    </w:p>
  </w:footnote>
  <w:footnote w:id="2">
    <w:p w:rsidR="0001216D" w:rsidRPr="00DD0CFD" w:rsidRDefault="0001216D"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01216D" w:rsidRDefault="0001216D">
      <w:pPr>
        <w:pStyle w:val="FootnoteText"/>
      </w:pPr>
      <w:r>
        <w:rPr>
          <w:rStyle w:val="FootnoteReference"/>
        </w:rPr>
        <w:footnoteRef/>
      </w:r>
      <w:r>
        <w:t xml:space="preserve"> Dr. Jan Boll, Lecture to Water Resource 506 Class: Integrating Questions (Sept. 8, 2011). </w:t>
      </w:r>
    </w:p>
  </w:footnote>
  <w:footnote w:id="4">
    <w:p w:rsidR="0001216D" w:rsidRPr="009950C3" w:rsidRDefault="0001216D">
      <w:pPr>
        <w:pStyle w:val="FootnoteText"/>
        <w:rPr>
          <w:u w:val="single"/>
        </w:rPr>
      </w:pPr>
      <w:r>
        <w:rPr>
          <w:rStyle w:val="FootnoteReference"/>
        </w:rPr>
        <w:footnoteRef/>
      </w:r>
      <w:r>
        <w:t xml:space="preserve"> </w:t>
      </w:r>
      <w:r w:rsidRPr="002752A9">
        <w:rPr>
          <w:i/>
        </w:rPr>
        <w:t>Id.</w:t>
      </w:r>
    </w:p>
  </w:footnote>
  <w:footnote w:id="5">
    <w:p w:rsidR="0001216D" w:rsidRDefault="0001216D">
      <w:pPr>
        <w:pStyle w:val="FootnoteText"/>
      </w:pPr>
      <w:r>
        <w:rPr>
          <w:rStyle w:val="FootnoteReference"/>
        </w:rPr>
        <w:footnoteRef/>
      </w:r>
      <w:r>
        <w:t xml:space="preserve"> </w:t>
      </w:r>
      <w:proofErr w:type="spellStart"/>
      <w:r w:rsidRPr="009950C3">
        <w:rPr>
          <w:smallCaps/>
        </w:rPr>
        <w:t>Repko</w:t>
      </w:r>
      <w:proofErr w:type="spellEnd"/>
      <w:r w:rsidRPr="009950C3">
        <w:rPr>
          <w:smallCaps/>
        </w:rPr>
        <w:t xml:space="preserve">, </w:t>
      </w:r>
      <w:r>
        <w:rPr>
          <w:i/>
        </w:rPr>
        <w:t xml:space="preserve">supra </w:t>
      </w:r>
      <w:r>
        <w:t>note 2, at 161.</w:t>
      </w:r>
    </w:p>
  </w:footnote>
  <w:footnote w:id="6">
    <w:p w:rsidR="0001216D" w:rsidRPr="009950C3" w:rsidRDefault="0001216D">
      <w:pPr>
        <w:pStyle w:val="FootnoteText"/>
        <w:rPr>
          <w:u w:val="single"/>
        </w:rPr>
      </w:pPr>
      <w:r>
        <w:rPr>
          <w:rStyle w:val="FootnoteReference"/>
        </w:rPr>
        <w:footnoteRef/>
      </w:r>
      <w:r>
        <w:t xml:space="preserve"> </w:t>
      </w:r>
      <w:r w:rsidRPr="002752A9">
        <w:rPr>
          <w:i/>
        </w:rPr>
        <w:t>Id.</w:t>
      </w:r>
    </w:p>
  </w:footnote>
  <w:footnote w:id="7">
    <w:p w:rsidR="0001216D" w:rsidRDefault="0001216D">
      <w:pPr>
        <w:pStyle w:val="FootnoteText"/>
      </w:pPr>
      <w:r>
        <w:rPr>
          <w:rStyle w:val="FootnoteReference"/>
        </w:rPr>
        <w:footnoteRef/>
      </w:r>
      <w:r>
        <w:t xml:space="preserve"> Boll, </w:t>
      </w:r>
      <w:r>
        <w:rPr>
          <w:i/>
        </w:rPr>
        <w:t xml:space="preserve">supra </w:t>
      </w:r>
      <w:r>
        <w:t>note 3.</w:t>
      </w:r>
    </w:p>
  </w:footnote>
  <w:footnote w:id="8">
    <w:p w:rsidR="0001216D" w:rsidRPr="009950C3" w:rsidRDefault="0001216D">
      <w:pPr>
        <w:pStyle w:val="FootnoteText"/>
        <w:rPr>
          <w:u w:val="single"/>
        </w:rPr>
      </w:pPr>
      <w:r>
        <w:rPr>
          <w:rStyle w:val="FootnoteReference"/>
        </w:rPr>
        <w:footnoteRef/>
      </w:r>
      <w:r>
        <w:t xml:space="preserve"> </w:t>
      </w:r>
      <w:r w:rsidRPr="002752A9">
        <w:rPr>
          <w:i/>
        </w:rPr>
        <w:t>Id.</w:t>
      </w:r>
    </w:p>
  </w:footnote>
  <w:footnote w:id="9">
    <w:p w:rsidR="0001216D" w:rsidRDefault="0001216D">
      <w:pPr>
        <w:pStyle w:val="FootnoteText"/>
      </w:pPr>
      <w:r>
        <w:rPr>
          <w:rStyle w:val="FootnoteReference"/>
        </w:rPr>
        <w:footnoteRef/>
      </w:r>
      <w:r>
        <w:t xml:space="preserve"> Maureen </w:t>
      </w:r>
      <w:proofErr w:type="spellStart"/>
      <w:r>
        <w:t>Laflin</w:t>
      </w:r>
      <w:proofErr w:type="spellEnd"/>
      <w:r>
        <w:t xml:space="preserve">, Lecture to Water Resource 506 Class: “Team Building—Cultivating Cooperation, </w:t>
      </w:r>
      <w:proofErr w:type="spellStart"/>
      <w:r>
        <w:t>Collaberation</w:t>
      </w:r>
      <w:proofErr w:type="spellEnd"/>
      <w:r>
        <w:t xml:space="preserve"> and Communication</w:t>
      </w:r>
      <w:r w:rsidR="009900C7">
        <w:t>”</w:t>
      </w:r>
      <w:r>
        <w:t xml:space="preserve"> (Aug. 30, 2011).</w:t>
      </w:r>
    </w:p>
  </w:footnote>
  <w:footnote w:id="10">
    <w:p w:rsidR="0001216D" w:rsidRPr="004F4B0D" w:rsidRDefault="0001216D">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01216D" w:rsidRPr="004F4B0D" w:rsidRDefault="0001216D">
      <w:pPr>
        <w:pStyle w:val="FootnoteText"/>
      </w:pPr>
      <w:r>
        <w:rPr>
          <w:rStyle w:val="FootnoteReference"/>
        </w:rPr>
        <w:footnoteRef/>
      </w:r>
      <w:r>
        <w:t xml:space="preserve"> </w:t>
      </w:r>
      <w:proofErr w:type="gramStart"/>
      <w:r>
        <w:rPr>
          <w:i/>
        </w:rPr>
        <w:t xml:space="preserve">Id. </w:t>
      </w:r>
      <w:r>
        <w:t>at 145.</w:t>
      </w:r>
      <w:proofErr w:type="gramEnd"/>
    </w:p>
  </w:footnote>
  <w:footnote w:id="12">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296.</w:t>
      </w:r>
      <w:proofErr w:type="gramEnd"/>
    </w:p>
  </w:footnote>
  <w:footnote w:id="13">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301.</w:t>
      </w:r>
      <w:proofErr w:type="gramEnd"/>
    </w:p>
  </w:footnote>
  <w:footnote w:id="14">
    <w:p w:rsidR="0001216D" w:rsidRPr="00B532D7" w:rsidRDefault="0001216D">
      <w:pPr>
        <w:pStyle w:val="FootnoteText"/>
        <w:rPr>
          <w:smallCaps/>
        </w:rPr>
      </w:pPr>
      <w:r>
        <w:rPr>
          <w:rStyle w:val="FootnoteReference"/>
        </w:rPr>
        <w:footnoteRef/>
      </w:r>
      <w:r>
        <w:t xml:space="preserve"> </w:t>
      </w:r>
      <w:proofErr w:type="spellStart"/>
      <w:r>
        <w:t>Marieke</w:t>
      </w:r>
      <w:proofErr w:type="spellEnd"/>
      <w:r>
        <w:t xml:space="preserve"> </w:t>
      </w:r>
      <w:proofErr w:type="spellStart"/>
      <w:r>
        <w:t>Heemskerk</w:t>
      </w:r>
      <w:proofErr w:type="spellEnd"/>
      <w:r>
        <w:t xml:space="preserve"> et al., </w:t>
      </w:r>
      <w:r>
        <w:rPr>
          <w:i/>
        </w:rPr>
        <w:t xml:space="preserve">Conceptual Models as Tools for Communication </w:t>
      </w:r>
      <w:proofErr w:type="gramStart"/>
      <w:r>
        <w:rPr>
          <w:i/>
        </w:rPr>
        <w:t>Across</w:t>
      </w:r>
      <w:proofErr w:type="gramEnd"/>
      <w:r>
        <w:rPr>
          <w:i/>
        </w:rPr>
        <w:t xml:space="preserve"> Disciplines, </w:t>
      </w:r>
      <w:r>
        <w:t xml:space="preserve">7 </w:t>
      </w:r>
      <w:r>
        <w:rPr>
          <w:smallCaps/>
        </w:rPr>
        <w:t>Conservation ecology 9 (2003).</w:t>
      </w:r>
    </w:p>
  </w:footnote>
  <w:footnote w:id="15">
    <w:p w:rsidR="0001216D" w:rsidRDefault="0001216D"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r w:rsidR="005C03E0">
        <w:t xml:space="preserve">, </w:t>
      </w:r>
      <w:r w:rsidR="005C03E0" w:rsidRPr="005C03E0">
        <w:rPr>
          <w:smallCaps/>
        </w:rPr>
        <w:t>Society for Applied Anthropology</w:t>
      </w:r>
      <w:r w:rsidR="005C03E0">
        <w:t xml:space="preserve"> 54</w:t>
      </w:r>
      <w:r>
        <w:t xml:space="preserve"> (Spring 2010)</w:t>
      </w:r>
      <w:r w:rsidR="00AC739A">
        <w:t>.</w:t>
      </w:r>
      <w:r>
        <w:t xml:space="preserve"> </w:t>
      </w:r>
    </w:p>
  </w:footnote>
  <w:footnote w:id="16">
    <w:p w:rsidR="0001216D" w:rsidRDefault="0001216D">
      <w:pPr>
        <w:pStyle w:val="FootnoteText"/>
      </w:pPr>
    </w:p>
  </w:footnote>
  <w:footnote w:id="17">
    <w:p w:rsidR="0001216D" w:rsidRPr="00781C68" w:rsidRDefault="0001216D"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18">
    <w:p w:rsidR="0001216D" w:rsidRPr="00DC3642" w:rsidRDefault="0001216D"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9">
    <w:p w:rsidR="0001216D" w:rsidRDefault="0001216D" w:rsidP="007139EC">
      <w:pPr>
        <w:pStyle w:val="FootnoteText"/>
      </w:pPr>
      <w:r>
        <w:rPr>
          <w:rStyle w:val="FootnoteReference"/>
        </w:rPr>
        <w:footnoteRef/>
      </w:r>
      <w:r>
        <w:t xml:space="preserve"> </w:t>
      </w:r>
      <w:proofErr w:type="gramStart"/>
      <w:r>
        <w:t>25 U.S.C.A. § 331 (repealed 1934).</w:t>
      </w:r>
      <w:proofErr w:type="gramEnd"/>
      <w:r>
        <w:t xml:space="preserve"> </w:t>
      </w:r>
      <w:proofErr w:type="gramStart"/>
      <w:r>
        <w:t>Also known as the General Allotment Act.</w:t>
      </w:r>
      <w:proofErr w:type="gramEnd"/>
    </w:p>
  </w:footnote>
  <w:footnote w:id="20">
    <w:p w:rsidR="0001216D" w:rsidRPr="0035706C" w:rsidRDefault="0001216D" w:rsidP="007139EC">
      <w:pPr>
        <w:pStyle w:val="FootnoteText"/>
        <w:rPr>
          <w:i/>
        </w:rPr>
      </w:pPr>
      <w:r>
        <w:rPr>
          <w:rStyle w:val="FootnoteReference"/>
        </w:rPr>
        <w:footnoteRef/>
      </w:r>
      <w:r>
        <w:t xml:space="preserve"> </w:t>
      </w:r>
      <w:r>
        <w:rPr>
          <w:i/>
        </w:rPr>
        <w:t>Id.</w:t>
      </w:r>
    </w:p>
  </w:footnote>
  <w:footnote w:id="21">
    <w:p w:rsidR="0001216D" w:rsidRPr="00C61158" w:rsidRDefault="0001216D"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01216D" w:rsidRDefault="0001216D"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01216D" w:rsidRDefault="0001216D"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01216D" w:rsidRPr="001400B3" w:rsidRDefault="0001216D"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01216D" w:rsidRDefault="0001216D"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01216D" w:rsidRPr="009E7255" w:rsidRDefault="0001216D"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01216D" w:rsidRDefault="0001216D"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01216D" w:rsidRPr="007B7C2C" w:rsidRDefault="0001216D"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01216D" w:rsidRDefault="0001216D" w:rsidP="007139EC">
      <w:pPr>
        <w:pStyle w:val="FootnoteText"/>
      </w:pPr>
      <w:r>
        <w:rPr>
          <w:rStyle w:val="FootnoteReference"/>
        </w:rPr>
        <w:footnoteRef/>
      </w:r>
      <w:r>
        <w:t xml:space="preserve"> The Lapwai Creek Watershed lies primarily in Nez Perce County but also reaches into Idaho and Lewis counties.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01216D" w:rsidRDefault="0001216D">
      <w:pPr>
        <w:pStyle w:val="FootnoteText"/>
      </w:pPr>
      <w:r>
        <w:rPr>
          <w:rStyle w:val="FootnoteReference"/>
        </w:rPr>
        <w:footnoteRef/>
      </w:r>
      <w:r>
        <w:t xml:space="preserve"> Barbara </w:t>
      </w:r>
      <w:proofErr w:type="spellStart"/>
      <w:r>
        <w:t>Cosens</w:t>
      </w:r>
      <w:proofErr w:type="spellEnd"/>
      <w:r>
        <w:t xml:space="preserve">, Lecture to Water Resource 506 </w:t>
      </w:r>
      <w:proofErr w:type="gramStart"/>
      <w:r>
        <w:t>Class</w:t>
      </w:r>
      <w:proofErr w:type="gramEnd"/>
      <w:r>
        <w:t xml:space="preserve">: Water Governance (Oct. 25, 2011). </w:t>
      </w:r>
    </w:p>
  </w:footnote>
  <w:footnote w:id="31">
    <w:p w:rsidR="0001216D" w:rsidRPr="00CB311C" w:rsidRDefault="0001216D" w:rsidP="00D43B54">
      <w:pPr>
        <w:pStyle w:val="FootnoteText"/>
      </w:pPr>
      <w:r w:rsidRPr="00CB311C">
        <w:rPr>
          <w:rStyle w:val="FootnoteReference"/>
        </w:rPr>
        <w:footnoteRef/>
      </w:r>
      <w:r w:rsidRPr="00CB311C">
        <w:t xml:space="preserve"> </w:t>
      </w:r>
      <w:proofErr w:type="gramStart"/>
      <w:r w:rsidRPr="00CB311C">
        <w:t>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w:t>
      </w:r>
      <w:proofErr w:type="gramEnd"/>
      <w:r w:rsidRPr="00CB311C">
        <w:t xml:space="preserve"> </w:t>
      </w:r>
    </w:p>
  </w:footnote>
  <w:footnote w:id="32">
    <w:p w:rsidR="0001216D" w:rsidRDefault="0001216D">
      <w:pPr>
        <w:pStyle w:val="FootnoteText"/>
      </w:pPr>
      <w:r>
        <w:rPr>
          <w:rStyle w:val="FootnoteReference"/>
        </w:rPr>
        <w:footnoteRef/>
      </w:r>
      <w:r>
        <w:t xml:space="preserve"> </w:t>
      </w:r>
      <w:proofErr w:type="spellStart"/>
      <w:r>
        <w:t>Cosens</w:t>
      </w:r>
      <w:proofErr w:type="spellEnd"/>
      <w:r>
        <w:t xml:space="preserve">, </w:t>
      </w:r>
      <w:proofErr w:type="gramStart"/>
      <w:r>
        <w:rPr>
          <w:i/>
        </w:rPr>
        <w:t>Supra</w:t>
      </w:r>
      <w:proofErr w:type="gramEnd"/>
      <w:r>
        <w:rPr>
          <w:i/>
        </w:rPr>
        <w:t xml:space="preserve"> </w:t>
      </w:r>
      <w:r>
        <w:t xml:space="preserve">note 30. </w:t>
      </w:r>
    </w:p>
  </w:footnote>
  <w:footnote w:id="33">
    <w:p w:rsidR="0001216D" w:rsidRDefault="0001216D">
      <w:pPr>
        <w:pStyle w:val="FootnoteText"/>
      </w:pPr>
      <w:r>
        <w:rPr>
          <w:rStyle w:val="FootnoteReference"/>
        </w:rPr>
        <w:footnoteRef/>
      </w:r>
      <w:r>
        <w:t xml:space="preserve"> </w:t>
      </w:r>
      <w:r w:rsidRPr="00241F95">
        <w:rPr>
          <w:i/>
        </w:rPr>
        <w:t>Id.</w:t>
      </w:r>
      <w:r>
        <w:t xml:space="preserve"> </w:t>
      </w:r>
    </w:p>
  </w:footnote>
  <w:footnote w:id="34">
    <w:p w:rsidR="0001216D" w:rsidRPr="009950C3" w:rsidRDefault="0001216D">
      <w:pPr>
        <w:pStyle w:val="FootnoteText"/>
        <w:rPr>
          <w:u w:val="single"/>
        </w:rPr>
      </w:pPr>
      <w:r>
        <w:rPr>
          <w:rStyle w:val="FootnoteReference"/>
        </w:rPr>
        <w:footnoteRef/>
      </w:r>
      <w:r>
        <w:t xml:space="preserve"> </w:t>
      </w:r>
      <w:r w:rsidRPr="001A0910">
        <w:rPr>
          <w:i/>
        </w:rPr>
        <w:t>Id.</w:t>
      </w:r>
    </w:p>
  </w:footnote>
  <w:footnote w:id="35">
    <w:p w:rsidR="0001216D" w:rsidRDefault="0001216D" w:rsidP="00D43B54">
      <w:pPr>
        <w:pStyle w:val="FootnoteText"/>
      </w:pPr>
      <w:r>
        <w:rPr>
          <w:rStyle w:val="FootnoteReference"/>
        </w:rPr>
        <w:footnoteRef/>
      </w:r>
      <w:r>
        <w:t xml:space="preserve"> </w:t>
      </w:r>
      <w:proofErr w:type="spellStart"/>
      <w:proofErr w:type="gramStart"/>
      <w:r>
        <w:t>Loree</w:t>
      </w:r>
      <w:proofErr w:type="spellEnd"/>
      <w:r>
        <w:t xml:space="preserve"> Higgins et al., Lapwai Creek Watershed Situation Assessment 4 (Jan. 15, 2011) (on file with University of Idaho Waters of the West) [hereinafter Situation Assessment].</w:t>
      </w:r>
      <w:proofErr w:type="gramEnd"/>
    </w:p>
  </w:footnote>
  <w:footnote w:id="36">
    <w:p w:rsidR="0001216D" w:rsidRPr="00C133CD" w:rsidRDefault="0001216D" w:rsidP="00D43B54">
      <w:pPr>
        <w:pStyle w:val="FootnoteText"/>
      </w:pPr>
      <w:r>
        <w:rPr>
          <w:rStyle w:val="FootnoteReference"/>
        </w:rPr>
        <w:footnoteRef/>
      </w:r>
      <w:r>
        <w:t xml:space="preserve"> </w:t>
      </w:r>
      <w:r>
        <w:rPr>
          <w:i/>
        </w:rPr>
        <w:t>Id.</w:t>
      </w:r>
      <w:r>
        <w:t xml:space="preserve"> </w:t>
      </w:r>
    </w:p>
  </w:footnote>
  <w:footnote w:id="37">
    <w:p w:rsidR="0001216D" w:rsidRDefault="0001216D">
      <w:pPr>
        <w:pStyle w:val="FootnoteText"/>
      </w:pPr>
      <w:r>
        <w:rPr>
          <w:rStyle w:val="FootnoteReference"/>
        </w:rPr>
        <w:footnoteRef/>
      </w:r>
      <w:r>
        <w:t xml:space="preserve"> </w:t>
      </w:r>
      <w:proofErr w:type="gramStart"/>
      <w:r>
        <w:t>National Wildlife Federation v. Federal Emergency Management Agency, 345 F.Supp.2d 1151 (W.D. Wash. 2004).</w:t>
      </w:r>
      <w:proofErr w:type="gramEnd"/>
    </w:p>
  </w:footnote>
  <w:footnote w:id="38">
    <w:p w:rsidR="0001216D" w:rsidRPr="00985550" w:rsidRDefault="0001216D">
      <w:pPr>
        <w:pStyle w:val="FootnoteText"/>
      </w:pPr>
      <w:r>
        <w:rPr>
          <w:rStyle w:val="FootnoteReference"/>
        </w:rPr>
        <w:footnoteRef/>
      </w:r>
      <w:r>
        <w:t xml:space="preserve"> </w:t>
      </w:r>
      <w:proofErr w:type="gramStart"/>
      <w:r>
        <w:rPr>
          <w:i/>
        </w:rPr>
        <w:t xml:space="preserve">Id. </w:t>
      </w:r>
      <w:r>
        <w:t>at 1155.</w:t>
      </w:r>
      <w:proofErr w:type="gramEnd"/>
    </w:p>
  </w:footnote>
  <w:footnote w:id="39">
    <w:p w:rsidR="0001216D" w:rsidRDefault="0001216D">
      <w:pPr>
        <w:pStyle w:val="FootnoteText"/>
      </w:pPr>
      <w:r>
        <w:rPr>
          <w:rStyle w:val="FootnoteReference"/>
        </w:rPr>
        <w:footnoteRef/>
      </w:r>
      <w:r>
        <w:t xml:space="preserve"> </w:t>
      </w:r>
      <w:r>
        <w:rPr>
          <w:i/>
        </w:rPr>
        <w:t>Id.</w:t>
      </w:r>
    </w:p>
  </w:footnote>
  <w:footnote w:id="40">
    <w:p w:rsidR="0001216D" w:rsidRDefault="0001216D">
      <w:pPr>
        <w:pStyle w:val="FootnoteText"/>
      </w:pPr>
      <w:r>
        <w:rPr>
          <w:rStyle w:val="FootnoteReference"/>
        </w:rPr>
        <w:footnoteRef/>
      </w:r>
      <w:r>
        <w:t xml:space="preserve"> </w:t>
      </w:r>
      <w:proofErr w:type="gramStart"/>
      <w:r w:rsidRPr="00F150DF">
        <w:rPr>
          <w:rFonts w:cs="Times New Roman"/>
          <w:highlight w:val="yellow"/>
        </w:rPr>
        <w:t>(</w:t>
      </w:r>
      <w:sdt>
        <w:sdtPr>
          <w:rPr>
            <w:rFonts w:cs="Times New Roman"/>
            <w:highlight w:val="yellow"/>
          </w:rPr>
          <w:id w:val="19167423"/>
          <w:citation/>
        </w:sdtPr>
        <w:sdtEndPr/>
        <w:sdtContent>
          <w:r w:rsidR="00606D53" w:rsidRPr="00F150DF">
            <w:rPr>
              <w:rFonts w:cs="Times New Roman"/>
              <w:highlight w:val="yellow"/>
            </w:rPr>
            <w:fldChar w:fldCharType="begin"/>
          </w:r>
          <w:r w:rsidRPr="00F150DF">
            <w:rPr>
              <w:rFonts w:cs="Times New Roman"/>
              <w:highlight w:val="yellow"/>
            </w:rPr>
            <w:instrText xml:space="preserve"> CITATION Nat08 \l 1033 </w:instrText>
          </w:r>
          <w:r w:rsidR="00606D53" w:rsidRPr="00F150DF">
            <w:rPr>
              <w:rFonts w:cs="Times New Roman"/>
              <w:highlight w:val="yellow"/>
            </w:rPr>
            <w:fldChar w:fldCharType="separate"/>
          </w:r>
          <w:r w:rsidRPr="00F150DF">
            <w:rPr>
              <w:rFonts w:cs="Times New Roman"/>
              <w:noProof/>
              <w:highlight w:val="yellow"/>
            </w:rPr>
            <w:t xml:space="preserve"> National Marine Fisheries Service.</w:t>
          </w:r>
          <w:proofErr w:type="gramEnd"/>
          <w:r w:rsidRPr="00F150DF">
            <w:rPr>
              <w:rFonts w:cs="Times New Roman"/>
              <w:noProof/>
              <w:highlight w:val="yellow"/>
            </w:rPr>
            <w:t xml:space="preserve"> (2008). </w:t>
          </w:r>
          <w:r w:rsidRPr="00F150DF">
            <w:rPr>
              <w:rFonts w:cs="Times New Roman"/>
              <w:i/>
              <w:noProof/>
              <w:highlight w:val="yellow"/>
            </w:rPr>
            <w:t>ESA - Section 7 Consultation Final Biological Opinion and Magnuson-Stevens Fishery Conservation and Management Act Essential Fish Habitat Consultation, Implementation of the NFIP in the State of WA Phase 1 Document - Puget Sound Region.</w:t>
          </w:r>
          <w:r w:rsidRPr="00F150DF">
            <w:rPr>
              <w:rFonts w:cs="Times New Roman"/>
              <w:noProof/>
              <w:highlight w:val="yellow"/>
            </w:rPr>
            <w:t xml:space="preserve"> National Marine Fisheries Service, Northwest Region. Seattle: National Oceanic and Atmospheric Administration.</w:t>
          </w:r>
          <w:r w:rsidR="00606D53" w:rsidRPr="00F150DF">
            <w:rPr>
              <w:rFonts w:cs="Times New Roman"/>
              <w:noProof/>
              <w:highlight w:val="yellow"/>
            </w:rPr>
            <w:fldChar w:fldCharType="end"/>
          </w:r>
        </w:sdtContent>
      </w:sdt>
    </w:p>
  </w:footnote>
  <w:footnote w:id="41">
    <w:p w:rsidR="0001216D" w:rsidRDefault="0001216D">
      <w:pPr>
        <w:pStyle w:val="FootnoteText"/>
      </w:pPr>
      <w:r>
        <w:rPr>
          <w:rStyle w:val="FootnoteReference"/>
        </w:rPr>
        <w:footnoteRef/>
      </w:r>
      <w:r>
        <w:t xml:space="preserve"> </w:t>
      </w:r>
      <w:proofErr w:type="gramStart"/>
      <w:r w:rsidRPr="0001216D">
        <w:t xml:space="preserve">Shannon Richardson </w:t>
      </w:r>
      <w:r w:rsidR="00971800">
        <w:t>&amp;</w:t>
      </w:r>
      <w:r w:rsidR="00971800" w:rsidRPr="0001216D">
        <w:t xml:space="preserve"> </w:t>
      </w:r>
      <w:r w:rsidRPr="0001216D">
        <w:t>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roofErr w:type="gramEnd"/>
    </w:p>
  </w:footnote>
  <w:footnote w:id="42">
    <w:p w:rsidR="0001216D" w:rsidRDefault="0001216D">
      <w:pPr>
        <w:pStyle w:val="FootnoteText"/>
      </w:pPr>
      <w:r>
        <w:rPr>
          <w:rStyle w:val="FootnoteReference"/>
        </w:rPr>
        <w:footnoteRef/>
      </w:r>
      <w:r>
        <w:t xml:space="preserve"> </w:t>
      </w:r>
      <w:r w:rsidRPr="0001216D">
        <w:t xml:space="preserve">Barbara </w:t>
      </w:r>
      <w:proofErr w:type="spellStart"/>
      <w:r w:rsidRPr="0001216D">
        <w:t>Cosens</w:t>
      </w:r>
      <w:proofErr w:type="spellEnd"/>
      <w:r w:rsidRPr="0001216D">
        <w:t xml:space="preserve"> </w:t>
      </w:r>
      <w:r w:rsidR="00971800">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01216D" w:rsidRDefault="0001216D">
      <w:pPr>
        <w:pStyle w:val="FootnoteText"/>
      </w:pPr>
      <w:r>
        <w:rPr>
          <w:rStyle w:val="FootnoteReference"/>
        </w:rPr>
        <w:footnoteRef/>
      </w:r>
      <w:r>
        <w:t xml:space="preserve"> </w:t>
      </w:r>
      <w:proofErr w:type="gramStart"/>
      <w:r w:rsidRPr="0001216D">
        <w:t xml:space="preserve">Richardson  </w:t>
      </w:r>
      <w:r w:rsidR="00971800">
        <w:t>&amp;</w:t>
      </w:r>
      <w:proofErr w:type="gramEnd"/>
      <w:r w:rsidRPr="0001216D">
        <w:t xml:space="preserve"> Rasmussen</w:t>
      </w:r>
      <w:r>
        <w:rPr>
          <w:smallCaps/>
        </w:rPr>
        <w:t xml:space="preserve">, </w:t>
      </w:r>
      <w:r>
        <w:rPr>
          <w:i/>
        </w:rPr>
        <w:t xml:space="preserve">supra </w:t>
      </w:r>
      <w:r>
        <w:t>note 41, at 25.</w:t>
      </w:r>
    </w:p>
  </w:footnote>
  <w:footnote w:id="44">
    <w:p w:rsidR="0001216D" w:rsidRDefault="0001216D">
      <w:pPr>
        <w:pStyle w:val="FootnoteText"/>
      </w:pPr>
      <w:r>
        <w:rPr>
          <w:rStyle w:val="FootnoteReference"/>
        </w:rPr>
        <w:footnoteRef/>
      </w:r>
      <w:r>
        <w:t xml:space="preserve"> </w:t>
      </w:r>
      <w:proofErr w:type="gramStart"/>
      <w:r>
        <w:rPr>
          <w:i/>
        </w:rPr>
        <w:t xml:space="preserve">Id. </w:t>
      </w:r>
      <w:r>
        <w:t>at 23.</w:t>
      </w:r>
      <w:proofErr w:type="gramEnd"/>
    </w:p>
  </w:footnote>
  <w:footnote w:id="45">
    <w:p w:rsidR="0001216D" w:rsidRDefault="0001216D">
      <w:pPr>
        <w:pStyle w:val="FootnoteText"/>
      </w:pPr>
      <w:r>
        <w:rPr>
          <w:rStyle w:val="FootnoteReference"/>
        </w:rPr>
        <w:footnoteRef/>
      </w:r>
      <w:r>
        <w:t xml:space="preserve"> </w:t>
      </w:r>
      <w:r w:rsidR="00EE2BED" w:rsidRPr="00EE2BED">
        <w:rPr>
          <w:i/>
          <w:u w:val="single"/>
        </w:rPr>
        <w:t>Id.</w:t>
      </w:r>
      <w:r w:rsidR="00EE2BED">
        <w:t xml:space="preserve"> at</w:t>
      </w:r>
      <w:r>
        <w:t xml:space="preserve"> </w:t>
      </w:r>
      <w:proofErr w:type="spellStart"/>
      <w:r>
        <w:t>at</w:t>
      </w:r>
      <w:proofErr w:type="spellEnd"/>
      <w:r>
        <w:t xml:space="preserve"> 25</w:t>
      </w:r>
    </w:p>
  </w:footnote>
  <w:footnote w:id="46">
    <w:p w:rsidR="0001216D" w:rsidRDefault="0001216D">
      <w:pPr>
        <w:pStyle w:val="FootnoteText"/>
      </w:pPr>
      <w:r>
        <w:rPr>
          <w:rStyle w:val="FootnoteReference"/>
        </w:rPr>
        <w:footnoteRef/>
      </w:r>
      <w:r>
        <w:t xml:space="preserve"> </w:t>
      </w:r>
      <w:r w:rsidRPr="00EE2BED">
        <w:t xml:space="preserve">Richard B. </w:t>
      </w:r>
      <w:proofErr w:type="spellStart"/>
      <w:r w:rsidRPr="00EE2BED">
        <w:t>Hartson</w:t>
      </w:r>
      <w:proofErr w:type="spellEnd"/>
      <w:r>
        <w:rPr>
          <w:smallCaps/>
        </w:rPr>
        <w:t xml:space="preserve">, </w:t>
      </w:r>
      <w:r w:rsidRPr="00EE2BED">
        <w:t>A Comparative Analysis of Habitat and Juvenile Steelhead (</w:t>
      </w:r>
      <w:proofErr w:type="spellStart"/>
      <w:r w:rsidRPr="00EE2BED">
        <w:t>Oncorhynchus</w:t>
      </w:r>
      <w:proofErr w:type="spellEnd"/>
      <w:r w:rsidRPr="00EE2BED">
        <w:t xml:space="preserve"> </w:t>
      </w:r>
      <w:proofErr w:type="spellStart"/>
      <w:r w:rsidRPr="00EE2BED">
        <w:t>mykiss</w:t>
      </w:r>
      <w:proofErr w:type="spellEnd"/>
      <w:r w:rsidRPr="00EE2BED">
        <w:t xml:space="preserve">) Demographics in an Altered Watershed </w:t>
      </w:r>
      <w:r>
        <w:rPr>
          <w:smallCaps/>
        </w:rPr>
        <w:t>(</w:t>
      </w:r>
      <w:r w:rsidR="00EE2BED">
        <w:t xml:space="preserve">Nov. </w:t>
      </w:r>
      <w:r>
        <w:rPr>
          <w:smallCaps/>
        </w:rPr>
        <w:t>2010</w:t>
      </w:r>
      <w:proofErr w:type="gramStart"/>
      <w:r>
        <w:rPr>
          <w:smallCaps/>
        </w:rPr>
        <w:t>)</w:t>
      </w:r>
      <w:r w:rsidR="00EE2BED">
        <w:rPr>
          <w:smallCaps/>
        </w:rPr>
        <w:t xml:space="preserve">  (</w:t>
      </w:r>
      <w:proofErr w:type="gramEnd"/>
      <w:r w:rsidR="00EE2BED" w:rsidRPr="00EE2BED">
        <w:t xml:space="preserve">unpublished </w:t>
      </w:r>
      <w:r w:rsidR="00EE2BED">
        <w:t>M.S. thesis) (on file with the University of Idaho College of Graduate Studies)</w:t>
      </w:r>
      <w:r>
        <w:rPr>
          <w:smallCaps/>
        </w:rPr>
        <w:t>.</w:t>
      </w:r>
    </w:p>
  </w:footnote>
  <w:footnote w:id="47">
    <w:p w:rsidR="0001216D" w:rsidRDefault="0001216D">
      <w:pPr>
        <w:pStyle w:val="FootnoteText"/>
      </w:pPr>
      <w:r>
        <w:rPr>
          <w:rStyle w:val="FootnoteReference"/>
        </w:rPr>
        <w:footnoteRef/>
      </w:r>
      <w:r>
        <w:t xml:space="preserve"> </w:t>
      </w:r>
      <w:r w:rsidR="00EE2BED">
        <w:t xml:space="preserve">Richardson </w:t>
      </w:r>
      <w:r w:rsidR="00971800">
        <w:t>&amp;</w:t>
      </w:r>
      <w:r w:rsidR="00EE2BED">
        <w:t xml:space="preserve"> Rasmussen, </w:t>
      </w:r>
      <w:r w:rsidR="00EE2BED">
        <w:rPr>
          <w:i/>
        </w:rPr>
        <w:t>su</w:t>
      </w:r>
      <w:r>
        <w:rPr>
          <w:i/>
        </w:rPr>
        <w:t xml:space="preserve">pra </w:t>
      </w:r>
      <w:r>
        <w:t xml:space="preserve">note </w:t>
      </w:r>
      <w:r w:rsidR="00EE2BED">
        <w:t>41</w:t>
      </w:r>
      <w:r>
        <w:t>, at 27</w:t>
      </w:r>
    </w:p>
  </w:footnote>
  <w:footnote w:id="48">
    <w:p w:rsidR="0001216D" w:rsidRDefault="0001216D">
      <w:pPr>
        <w:pStyle w:val="FootnoteText"/>
      </w:pPr>
      <w:r>
        <w:rPr>
          <w:rStyle w:val="FootnoteReference"/>
        </w:rPr>
        <w:footnoteRef/>
      </w:r>
      <w:r>
        <w:t xml:space="preserve"> </w:t>
      </w:r>
      <w:proofErr w:type="gramStart"/>
      <w:r w:rsidRPr="00D43B54">
        <w:rPr>
          <w:rFonts w:cs="Times New Roman"/>
        </w:rPr>
        <w:t>(</w:t>
      </w:r>
      <w:sdt>
        <w:sdtPr>
          <w:rPr>
            <w:rFonts w:cs="Times New Roman"/>
          </w:rPr>
          <w:id w:val="54924759"/>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49">
    <w:p w:rsidR="0001216D" w:rsidRDefault="0001216D">
      <w:pPr>
        <w:pStyle w:val="FootnoteText"/>
      </w:pPr>
      <w:r>
        <w:rPr>
          <w:rStyle w:val="FootnoteReference"/>
        </w:rPr>
        <w:footnoteRef/>
      </w:r>
      <w:r>
        <w:t xml:space="preserve"> </w:t>
      </w:r>
      <w:r w:rsidRPr="00971800">
        <w:t xml:space="preserve">Ashley Williams, Floodplain Delineation Methodology Utilizing </w:t>
      </w:r>
      <w:proofErr w:type="spellStart"/>
      <w:r w:rsidRPr="00971800">
        <w:t>Lidar</w:t>
      </w:r>
      <w:proofErr w:type="spellEnd"/>
      <w:r w:rsidRPr="00971800">
        <w:t xml:space="preserve"> Data with Attention to Urban Effects, Climate Change, And Habitat </w:t>
      </w:r>
      <w:proofErr w:type="spellStart"/>
      <w:r w:rsidRPr="00971800">
        <w:t>COnnectivity</w:t>
      </w:r>
      <w:proofErr w:type="spellEnd"/>
      <w:r w:rsidRPr="00971800">
        <w:t xml:space="preserve"> in Lapwai Creek, Idaho</w:t>
      </w:r>
      <w:r>
        <w:rPr>
          <w:smallCaps/>
        </w:rPr>
        <w:t xml:space="preserve"> 115 (</w:t>
      </w:r>
      <w:r w:rsidR="00971800" w:rsidRPr="00971800">
        <w:t xml:space="preserve">May </w:t>
      </w:r>
      <w:r>
        <w:rPr>
          <w:smallCaps/>
        </w:rPr>
        <w:t>2011)</w:t>
      </w:r>
      <w:r w:rsidR="00971800">
        <w:rPr>
          <w:smallCaps/>
        </w:rPr>
        <w:t xml:space="preserve"> (</w:t>
      </w:r>
      <w:r w:rsidR="00971800">
        <w:t>unpublished M.S. thesis) (on file with the University of Idaho College of Graduate Studies)</w:t>
      </w:r>
      <w:r>
        <w:rPr>
          <w:smallCaps/>
        </w:rPr>
        <w:t>.</w:t>
      </w:r>
      <w:r w:rsidRPr="00D43B54">
        <w:rPr>
          <w:rFonts w:cs="Times New Roman"/>
        </w:rPr>
        <w:t xml:space="preserve">  </w:t>
      </w:r>
    </w:p>
  </w:footnote>
  <w:footnote w:id="50">
    <w:p w:rsidR="0001216D" w:rsidRDefault="0001216D">
      <w:pPr>
        <w:pStyle w:val="FootnoteText"/>
      </w:pPr>
      <w:r>
        <w:rPr>
          <w:rStyle w:val="FootnoteReference"/>
        </w:rPr>
        <w:footnoteRef/>
      </w:r>
      <w:r>
        <w:t xml:space="preserve"> </w:t>
      </w:r>
      <w:sdt>
        <w:sdtPr>
          <w:rPr>
            <w:rFonts w:cs="Times New Roman"/>
          </w:rPr>
          <w:id w:val="54924760"/>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51">
    <w:p w:rsidR="0001216D" w:rsidRDefault="0001216D">
      <w:pPr>
        <w:pStyle w:val="FootnoteText"/>
      </w:pPr>
      <w:r>
        <w:rPr>
          <w:rStyle w:val="FootnoteReference"/>
        </w:rPr>
        <w:footnoteRef/>
      </w:r>
      <w:r>
        <w:t xml:space="preserve"> </w:t>
      </w:r>
      <w:r w:rsidRPr="00D43B54">
        <w:rPr>
          <w:rFonts w:cs="Times New Roman"/>
        </w:rPr>
        <w:t>(NMFS 2008)</w:t>
      </w:r>
    </w:p>
  </w:footnote>
  <w:footnote w:id="52">
    <w:p w:rsidR="0001216D" w:rsidRDefault="0001216D">
      <w:pPr>
        <w:pStyle w:val="FootnoteText"/>
      </w:pPr>
      <w:r>
        <w:rPr>
          <w:rStyle w:val="FootnoteReference"/>
        </w:rPr>
        <w:footnoteRef/>
      </w:r>
      <w:r>
        <w:t xml:space="preserve"> </w:t>
      </w:r>
      <w:r w:rsidRPr="00971800">
        <w:t xml:space="preserve">Richardson </w:t>
      </w:r>
      <w:r w:rsidR="009900C7">
        <w:t>&amp;</w:t>
      </w:r>
      <w:r w:rsidRPr="00971800">
        <w:t xml:space="preserve"> Rasmussen</w:t>
      </w:r>
      <w:r>
        <w:rPr>
          <w:smallCaps/>
        </w:rPr>
        <w:t xml:space="preserve">, </w:t>
      </w:r>
      <w:r>
        <w:rPr>
          <w:i/>
        </w:rPr>
        <w:t xml:space="preserve">supra </w:t>
      </w:r>
      <w:r>
        <w:t xml:space="preserve">note </w:t>
      </w:r>
      <w:r w:rsidR="009900C7">
        <w:t>41</w:t>
      </w:r>
      <w:r>
        <w:t>, at 6.</w:t>
      </w:r>
    </w:p>
  </w:footnote>
  <w:footnote w:id="53">
    <w:p w:rsidR="0001216D" w:rsidRDefault="0001216D">
      <w:pPr>
        <w:pStyle w:val="FootnoteText"/>
      </w:pPr>
      <w:r>
        <w:rPr>
          <w:rStyle w:val="FootnoteReference"/>
        </w:rPr>
        <w:footnoteRef/>
      </w:r>
      <w:r>
        <w:t xml:space="preserve"> </w:t>
      </w:r>
      <w:proofErr w:type="gramStart"/>
      <w:r w:rsidR="004978AB">
        <w:rPr>
          <w:i/>
        </w:rPr>
        <w:t xml:space="preserve">Id. </w:t>
      </w:r>
      <w:r>
        <w:t>at 45.</w:t>
      </w:r>
      <w:proofErr w:type="gramEnd"/>
    </w:p>
  </w:footnote>
  <w:footnote w:id="54">
    <w:p w:rsidR="0001216D" w:rsidRDefault="0001216D">
      <w:pPr>
        <w:pStyle w:val="FootnoteText"/>
      </w:pPr>
      <w:r>
        <w:rPr>
          <w:rStyle w:val="FootnoteReference"/>
        </w:rPr>
        <w:footnoteRef/>
      </w:r>
      <w:r>
        <w:t xml:space="preserve"> </w:t>
      </w:r>
      <w:r w:rsidR="00B0329B">
        <w:t xml:space="preserve">Dr. </w:t>
      </w:r>
      <w:r w:rsidRPr="00B0329B">
        <w:t>Brian Kennedy</w:t>
      </w:r>
      <w:r>
        <w:rPr>
          <w:smallCaps/>
        </w:rPr>
        <w:t xml:space="preserve">, </w:t>
      </w:r>
      <w:r w:rsidRPr="009900C7">
        <w:t xml:space="preserve">Lecture </w:t>
      </w:r>
      <w:r w:rsidR="009900C7" w:rsidRPr="009900C7">
        <w:t>to Water Resources 506 Class,</w:t>
      </w:r>
      <w:r>
        <w:rPr>
          <w:smallCaps/>
        </w:rPr>
        <w:t xml:space="preserve"> “</w:t>
      </w:r>
      <w:r w:rsidRPr="009900C7">
        <w:t>The Ecology of Rivers and Salmon</w:t>
      </w:r>
      <w:r w:rsidR="009900C7">
        <w:t>,</w:t>
      </w:r>
      <w:r>
        <w:rPr>
          <w:smallCaps/>
        </w:rPr>
        <w:t>” (</w:t>
      </w:r>
      <w:r w:rsidRPr="009900C7">
        <w:t>Oct</w:t>
      </w:r>
      <w:r>
        <w:rPr>
          <w:smallCaps/>
        </w:rPr>
        <w:t>. 13, 2011).</w:t>
      </w:r>
    </w:p>
  </w:footnote>
  <w:footnote w:id="55">
    <w:p w:rsidR="0001216D" w:rsidRDefault="0001216D">
      <w:pPr>
        <w:pStyle w:val="FootnoteText"/>
      </w:pPr>
      <w:r>
        <w:rPr>
          <w:rStyle w:val="FootnoteReference"/>
        </w:rPr>
        <w:footnoteRef/>
      </w:r>
      <w:r>
        <w:t xml:space="preserve"> </w:t>
      </w:r>
      <w:r w:rsidRPr="00B0329B">
        <w:rPr>
          <w:u w:val="single"/>
        </w:rPr>
        <w:t xml:space="preserve">T.C. </w:t>
      </w:r>
      <w:proofErr w:type="spellStart"/>
      <w:r w:rsidRPr="00B0329B">
        <w:rPr>
          <w:u w:val="single"/>
        </w:rPr>
        <w:t>Bjornn</w:t>
      </w:r>
      <w:proofErr w:type="spellEnd"/>
      <w:r w:rsidRPr="00B0329B">
        <w:rPr>
          <w:u w:val="single"/>
        </w:rPr>
        <w:t xml:space="preserve"> and D.W. </w:t>
      </w:r>
      <w:proofErr w:type="spellStart"/>
      <w:r w:rsidRPr="00B0329B">
        <w:rPr>
          <w:u w:val="single"/>
        </w:rPr>
        <w:t>Reisner</w:t>
      </w:r>
      <w:proofErr w:type="spellEnd"/>
      <w:r>
        <w:rPr>
          <w:smallCaps/>
        </w:rPr>
        <w:t xml:space="preserve">, </w:t>
      </w:r>
      <w:r w:rsidR="00B0329B">
        <w:rPr>
          <w:i/>
        </w:rPr>
        <w:t xml:space="preserve">Habitat Requirements of </w:t>
      </w:r>
      <w:proofErr w:type="spellStart"/>
      <w:r w:rsidR="00B0329B">
        <w:rPr>
          <w:i/>
        </w:rPr>
        <w:t>Salmonids</w:t>
      </w:r>
      <w:proofErr w:type="spellEnd"/>
      <w:r w:rsidR="00B0329B">
        <w:rPr>
          <w:i/>
        </w:rPr>
        <w:t xml:space="preserve"> in Streams, in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w:t>
      </w:r>
      <w:r w:rsidR="00B0329B">
        <w:rPr>
          <w:smallCaps/>
        </w:rPr>
        <w:t xml:space="preserve">83, </w:t>
      </w:r>
      <w:r>
        <w:rPr>
          <w:smallCaps/>
        </w:rPr>
        <w:t>85 (</w:t>
      </w:r>
      <w:r w:rsidRPr="00FF696D">
        <w:t>W.R. Meehan ed.</w:t>
      </w:r>
      <w:r>
        <w:t xml:space="preserve"> 1991)</w:t>
      </w:r>
      <w:r w:rsidRPr="00D43B54">
        <w:rPr>
          <w:rFonts w:cs="Times New Roman"/>
        </w:rPr>
        <w:t xml:space="preserve">; </w:t>
      </w:r>
      <w:r w:rsidRPr="009900C7">
        <w:t xml:space="preserve">Richardson  </w:t>
      </w:r>
      <w:r w:rsidR="00B0329B">
        <w:t>&amp;</w:t>
      </w:r>
      <w:r w:rsidRPr="009900C7">
        <w:t xml:space="preserve"> Rasmussen</w:t>
      </w:r>
      <w:r>
        <w:rPr>
          <w:smallCaps/>
        </w:rPr>
        <w:t xml:space="preserve">, </w:t>
      </w:r>
      <w:r>
        <w:rPr>
          <w:i/>
        </w:rPr>
        <w:t xml:space="preserve">supra </w:t>
      </w:r>
      <w:r>
        <w:t xml:space="preserve">note </w:t>
      </w:r>
      <w:r w:rsidR="009900C7">
        <w:t>41</w:t>
      </w:r>
      <w:r>
        <w:t>, at 21.</w:t>
      </w:r>
      <w:r w:rsidRPr="00D43B54">
        <w:rPr>
          <w:rFonts w:cs="Times New Roman"/>
        </w:rPr>
        <w:t xml:space="preserve"> </w:t>
      </w:r>
    </w:p>
  </w:footnote>
  <w:footnote w:id="56">
    <w:p w:rsidR="0001216D" w:rsidRDefault="0001216D" w:rsidP="00073263">
      <w:pPr>
        <w:pStyle w:val="FootnoteText"/>
      </w:pPr>
      <w:r>
        <w:rPr>
          <w:rStyle w:val="FootnoteReference"/>
        </w:rPr>
        <w:footnoteRef/>
      </w:r>
      <w:r>
        <w:t xml:space="preserve"> Situation assessment, </w:t>
      </w:r>
      <w:r w:rsidR="00B0329B">
        <w:rPr>
          <w:i/>
        </w:rPr>
        <w:t xml:space="preserve">supra </w:t>
      </w:r>
      <w:r w:rsidR="00B0329B">
        <w:t xml:space="preserve">note </w:t>
      </w:r>
      <w:r w:rsidR="000E0922">
        <w:t>35, at</w:t>
      </w:r>
      <w:r>
        <w:t xml:space="preserve"> 8</w:t>
      </w:r>
      <w:r w:rsidR="000E092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end"/>
    </w:r>
  </w:p>
  <w:p w:rsidR="0001216D" w:rsidRDefault="000121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separate"/>
    </w:r>
    <w:r w:rsidR="009E3564">
      <w:rPr>
        <w:rStyle w:val="PageNumber"/>
        <w:noProof/>
      </w:rPr>
      <w:t>2</w:t>
    </w:r>
    <w:r>
      <w:rPr>
        <w:rStyle w:val="PageNumber"/>
      </w:rPr>
      <w:fldChar w:fldCharType="end"/>
    </w:r>
  </w:p>
  <w:p w:rsidR="0001216D" w:rsidRDefault="000121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A310E7"/>
    <w:rsid w:val="00000ED3"/>
    <w:rsid w:val="00006242"/>
    <w:rsid w:val="000115A2"/>
    <w:rsid w:val="0001216D"/>
    <w:rsid w:val="0002108A"/>
    <w:rsid w:val="00021AA8"/>
    <w:rsid w:val="00053174"/>
    <w:rsid w:val="0007084D"/>
    <w:rsid w:val="00073263"/>
    <w:rsid w:val="000874ED"/>
    <w:rsid w:val="0009536E"/>
    <w:rsid w:val="000A6E67"/>
    <w:rsid w:val="000E0657"/>
    <w:rsid w:val="000E0922"/>
    <w:rsid w:val="000E50C0"/>
    <w:rsid w:val="00100FF3"/>
    <w:rsid w:val="00151AC1"/>
    <w:rsid w:val="00164D24"/>
    <w:rsid w:val="001900EA"/>
    <w:rsid w:val="0019576B"/>
    <w:rsid w:val="001963E9"/>
    <w:rsid w:val="001A0910"/>
    <w:rsid w:val="001B16F3"/>
    <w:rsid w:val="001C4FA0"/>
    <w:rsid w:val="001E0383"/>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3564"/>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4831"/>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A2CAA-2E09-45A2-8AAC-7EAD1437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21</Pages>
  <Words>5329</Words>
  <Characters>30378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Audrey Squires</cp:lastModifiedBy>
  <cp:revision>21</cp:revision>
  <dcterms:created xsi:type="dcterms:W3CDTF">2011-12-01T02:50:00Z</dcterms:created>
  <dcterms:modified xsi:type="dcterms:W3CDTF">2011-12-01T18:57:00Z</dcterms:modified>
</cp:coreProperties>
</file>